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72" w:rsidRDefault="004B4A1E">
      <w:bookmarkStart w:id="0" w:name="_GoBack"/>
      <w:r>
        <w:rPr>
          <w:noProof/>
          <w:lang w:eastAsia="de-DE"/>
        </w:rPr>
        <w:drawing>
          <wp:inline distT="0" distB="0" distL="0" distR="0">
            <wp:extent cx="5486400" cy="3200400"/>
            <wp:effectExtent l="0" t="0" r="19050" b="1905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062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1E"/>
    <w:rsid w:val="002F6EED"/>
    <w:rsid w:val="00314EAC"/>
    <w:rsid w:val="00381159"/>
    <w:rsid w:val="00406272"/>
    <w:rsid w:val="004B4A1E"/>
    <w:rsid w:val="00567DDD"/>
    <w:rsid w:val="00A4122D"/>
    <w:rsid w:val="00A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de-DE"/>
              <a:t>Piega 511 - Dobra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linke Box</c:v>
                </c:pt>
              </c:strCache>
            </c:strRef>
          </c:tx>
          <c:marker>
            <c:symbol val="none"/>
          </c:marker>
          <c:cat>
            <c:numRef>
              <c:f>Tabelle1!$A$2:$A$22</c:f>
              <c:numCache>
                <c:formatCode>General</c:formatCode>
                <c:ptCount val="21"/>
                <c:pt idx="0">
                  <c:v>35</c:v>
                </c:pt>
                <c:pt idx="1">
                  <c:v>38</c:v>
                </c:pt>
                <c:pt idx="2">
                  <c:v>41</c:v>
                </c:pt>
                <c:pt idx="3">
                  <c:v>44</c:v>
                </c:pt>
                <c:pt idx="4">
                  <c:v>48</c:v>
                </c:pt>
                <c:pt idx="5">
                  <c:v>52</c:v>
                </c:pt>
                <c:pt idx="6">
                  <c:v>56</c:v>
                </c:pt>
                <c:pt idx="7">
                  <c:v>60</c:v>
                </c:pt>
                <c:pt idx="8">
                  <c:v>64</c:v>
                </c:pt>
                <c:pt idx="9">
                  <c:v>68</c:v>
                </c:pt>
                <c:pt idx="10">
                  <c:v>72</c:v>
                </c:pt>
                <c:pt idx="11">
                  <c:v>76</c:v>
                </c:pt>
                <c:pt idx="12">
                  <c:v>80</c:v>
                </c:pt>
                <c:pt idx="13">
                  <c:v>85</c:v>
                </c:pt>
                <c:pt idx="14">
                  <c:v>90</c:v>
                </c:pt>
                <c:pt idx="15">
                  <c:v>97</c:v>
                </c:pt>
                <c:pt idx="16">
                  <c:v>105</c:v>
                </c:pt>
                <c:pt idx="17">
                  <c:v>112</c:v>
                </c:pt>
                <c:pt idx="18">
                  <c:v>120</c:v>
                </c:pt>
                <c:pt idx="19">
                  <c:v>128</c:v>
                </c:pt>
                <c:pt idx="20">
                  <c:v>140</c:v>
                </c:pt>
              </c:numCache>
            </c:numRef>
          </c:cat>
          <c:val>
            <c:numRef>
              <c:f>Tabelle1!$B$2:$B$22</c:f>
              <c:numCache>
                <c:formatCode>General</c:formatCode>
                <c:ptCount val="21"/>
                <c:pt idx="0">
                  <c:v>-55</c:v>
                </c:pt>
                <c:pt idx="1">
                  <c:v>-45</c:v>
                </c:pt>
                <c:pt idx="2">
                  <c:v>-45</c:v>
                </c:pt>
                <c:pt idx="3">
                  <c:v>-46</c:v>
                </c:pt>
                <c:pt idx="4">
                  <c:v>-47</c:v>
                </c:pt>
                <c:pt idx="5">
                  <c:v>-46</c:v>
                </c:pt>
                <c:pt idx="6">
                  <c:v>-60</c:v>
                </c:pt>
                <c:pt idx="7">
                  <c:v>-52</c:v>
                </c:pt>
                <c:pt idx="8">
                  <c:v>-41</c:v>
                </c:pt>
                <c:pt idx="9">
                  <c:v>-38</c:v>
                </c:pt>
                <c:pt idx="10">
                  <c:v>-39</c:v>
                </c:pt>
                <c:pt idx="11">
                  <c:v>-37</c:v>
                </c:pt>
                <c:pt idx="12">
                  <c:v>-33</c:v>
                </c:pt>
                <c:pt idx="13">
                  <c:v>-36</c:v>
                </c:pt>
                <c:pt idx="14">
                  <c:v>-47</c:v>
                </c:pt>
                <c:pt idx="15">
                  <c:v>-36</c:v>
                </c:pt>
                <c:pt idx="16">
                  <c:v>-29</c:v>
                </c:pt>
                <c:pt idx="17">
                  <c:v>-28</c:v>
                </c:pt>
                <c:pt idx="18">
                  <c:v>-32</c:v>
                </c:pt>
                <c:pt idx="19">
                  <c:v>-25</c:v>
                </c:pt>
                <c:pt idx="20">
                  <c:v>-25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Hörplatz</c:v>
                </c:pt>
              </c:strCache>
            </c:strRef>
          </c:tx>
          <c:marker>
            <c:symbol val="none"/>
          </c:marker>
          <c:cat>
            <c:numRef>
              <c:f>Tabelle1!$A$2:$A$22</c:f>
              <c:numCache>
                <c:formatCode>General</c:formatCode>
                <c:ptCount val="21"/>
                <c:pt idx="0">
                  <c:v>35</c:v>
                </c:pt>
                <c:pt idx="1">
                  <c:v>38</c:v>
                </c:pt>
                <c:pt idx="2">
                  <c:v>41</c:v>
                </c:pt>
                <c:pt idx="3">
                  <c:v>44</c:v>
                </c:pt>
                <c:pt idx="4">
                  <c:v>48</c:v>
                </c:pt>
                <c:pt idx="5">
                  <c:v>52</c:v>
                </c:pt>
                <c:pt idx="6">
                  <c:v>56</c:v>
                </c:pt>
                <c:pt idx="7">
                  <c:v>60</c:v>
                </c:pt>
                <c:pt idx="8">
                  <c:v>64</c:v>
                </c:pt>
                <c:pt idx="9">
                  <c:v>68</c:v>
                </c:pt>
                <c:pt idx="10">
                  <c:v>72</c:v>
                </c:pt>
                <c:pt idx="11">
                  <c:v>76</c:v>
                </c:pt>
                <c:pt idx="12">
                  <c:v>80</c:v>
                </c:pt>
                <c:pt idx="13">
                  <c:v>85</c:v>
                </c:pt>
                <c:pt idx="14">
                  <c:v>90</c:v>
                </c:pt>
                <c:pt idx="15">
                  <c:v>97</c:v>
                </c:pt>
                <c:pt idx="16">
                  <c:v>105</c:v>
                </c:pt>
                <c:pt idx="17">
                  <c:v>112</c:v>
                </c:pt>
                <c:pt idx="18">
                  <c:v>120</c:v>
                </c:pt>
                <c:pt idx="19">
                  <c:v>128</c:v>
                </c:pt>
                <c:pt idx="20">
                  <c:v>140</c:v>
                </c:pt>
              </c:numCache>
            </c:numRef>
          </c:cat>
          <c:val>
            <c:numRef>
              <c:f>Tabelle1!$C$2:$C$22</c:f>
              <c:numCache>
                <c:formatCode>General</c:formatCode>
                <c:ptCount val="21"/>
                <c:pt idx="0">
                  <c:v>-43</c:v>
                </c:pt>
                <c:pt idx="1">
                  <c:v>-42</c:v>
                </c:pt>
                <c:pt idx="2">
                  <c:v>-46</c:v>
                </c:pt>
                <c:pt idx="3">
                  <c:v>-48</c:v>
                </c:pt>
                <c:pt idx="4">
                  <c:v>-47</c:v>
                </c:pt>
                <c:pt idx="5">
                  <c:v>-42</c:v>
                </c:pt>
                <c:pt idx="6">
                  <c:v>-41</c:v>
                </c:pt>
                <c:pt idx="7">
                  <c:v>-40</c:v>
                </c:pt>
                <c:pt idx="8">
                  <c:v>-37</c:v>
                </c:pt>
                <c:pt idx="9">
                  <c:v>-42</c:v>
                </c:pt>
                <c:pt idx="10">
                  <c:v>-41</c:v>
                </c:pt>
                <c:pt idx="11">
                  <c:v>-53</c:v>
                </c:pt>
                <c:pt idx="12">
                  <c:v>-41</c:v>
                </c:pt>
                <c:pt idx="13">
                  <c:v>-40</c:v>
                </c:pt>
                <c:pt idx="14">
                  <c:v>-40</c:v>
                </c:pt>
                <c:pt idx="15">
                  <c:v>-45</c:v>
                </c:pt>
                <c:pt idx="16">
                  <c:v>-38</c:v>
                </c:pt>
                <c:pt idx="17">
                  <c:v>-36</c:v>
                </c:pt>
                <c:pt idx="18">
                  <c:v>-39</c:v>
                </c:pt>
                <c:pt idx="19">
                  <c:v>-32</c:v>
                </c:pt>
                <c:pt idx="20">
                  <c:v>-25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rechte Box</c:v>
                </c:pt>
              </c:strCache>
            </c:strRef>
          </c:tx>
          <c:marker>
            <c:symbol val="none"/>
          </c:marker>
          <c:cat>
            <c:numRef>
              <c:f>Tabelle1!$A$2:$A$22</c:f>
              <c:numCache>
                <c:formatCode>General</c:formatCode>
                <c:ptCount val="21"/>
                <c:pt idx="0">
                  <c:v>35</c:v>
                </c:pt>
                <c:pt idx="1">
                  <c:v>38</c:v>
                </c:pt>
                <c:pt idx="2">
                  <c:v>41</c:v>
                </c:pt>
                <c:pt idx="3">
                  <c:v>44</c:v>
                </c:pt>
                <c:pt idx="4">
                  <c:v>48</c:v>
                </c:pt>
                <c:pt idx="5">
                  <c:v>52</c:v>
                </c:pt>
                <c:pt idx="6">
                  <c:v>56</c:v>
                </c:pt>
                <c:pt idx="7">
                  <c:v>60</c:v>
                </c:pt>
                <c:pt idx="8">
                  <c:v>64</c:v>
                </c:pt>
                <c:pt idx="9">
                  <c:v>68</c:v>
                </c:pt>
                <c:pt idx="10">
                  <c:v>72</c:v>
                </c:pt>
                <c:pt idx="11">
                  <c:v>76</c:v>
                </c:pt>
                <c:pt idx="12">
                  <c:v>80</c:v>
                </c:pt>
                <c:pt idx="13">
                  <c:v>85</c:v>
                </c:pt>
                <c:pt idx="14">
                  <c:v>90</c:v>
                </c:pt>
                <c:pt idx="15">
                  <c:v>97</c:v>
                </c:pt>
                <c:pt idx="16">
                  <c:v>105</c:v>
                </c:pt>
                <c:pt idx="17">
                  <c:v>112</c:v>
                </c:pt>
                <c:pt idx="18">
                  <c:v>120</c:v>
                </c:pt>
                <c:pt idx="19">
                  <c:v>128</c:v>
                </c:pt>
                <c:pt idx="20">
                  <c:v>140</c:v>
                </c:pt>
              </c:numCache>
            </c:numRef>
          </c:cat>
          <c:val>
            <c:numRef>
              <c:f>Tabelle1!$D$2:$D$22</c:f>
              <c:numCache>
                <c:formatCode>General</c:formatCode>
                <c:ptCount val="21"/>
                <c:pt idx="0">
                  <c:v>-46</c:v>
                </c:pt>
                <c:pt idx="1">
                  <c:v>-49</c:v>
                </c:pt>
                <c:pt idx="2">
                  <c:v>-56</c:v>
                </c:pt>
                <c:pt idx="3">
                  <c:v>-56</c:v>
                </c:pt>
                <c:pt idx="4">
                  <c:v>-53</c:v>
                </c:pt>
                <c:pt idx="5">
                  <c:v>-55</c:v>
                </c:pt>
                <c:pt idx="6">
                  <c:v>-59</c:v>
                </c:pt>
                <c:pt idx="7">
                  <c:v>-48</c:v>
                </c:pt>
                <c:pt idx="8">
                  <c:v>-40</c:v>
                </c:pt>
                <c:pt idx="9">
                  <c:v>-37</c:v>
                </c:pt>
                <c:pt idx="10">
                  <c:v>-38</c:v>
                </c:pt>
                <c:pt idx="11">
                  <c:v>-36</c:v>
                </c:pt>
                <c:pt idx="12">
                  <c:v>-34</c:v>
                </c:pt>
                <c:pt idx="13">
                  <c:v>-39</c:v>
                </c:pt>
                <c:pt idx="14">
                  <c:v>-36</c:v>
                </c:pt>
                <c:pt idx="15">
                  <c:v>-30</c:v>
                </c:pt>
                <c:pt idx="16">
                  <c:v>-33</c:v>
                </c:pt>
                <c:pt idx="17">
                  <c:v>-34</c:v>
                </c:pt>
                <c:pt idx="18">
                  <c:v>-35</c:v>
                </c:pt>
                <c:pt idx="19">
                  <c:v>-27</c:v>
                </c:pt>
                <c:pt idx="20">
                  <c:v>-30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14016"/>
        <c:axId val="35824000"/>
      </c:lineChart>
      <c:catAx>
        <c:axId val="358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5824000"/>
        <c:crosses val="autoZero"/>
        <c:auto val="1"/>
        <c:lblAlgn val="ctr"/>
        <c:lblOffset val="100"/>
        <c:noMultiLvlLbl val="0"/>
      </c:catAx>
      <c:valAx>
        <c:axId val="35824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358140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5</cp:revision>
  <dcterms:created xsi:type="dcterms:W3CDTF">2019-06-15T16:14:00Z</dcterms:created>
  <dcterms:modified xsi:type="dcterms:W3CDTF">2019-06-16T12:18:00Z</dcterms:modified>
</cp:coreProperties>
</file>